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1A" w:rsidRDefault="00CF351A" w:rsidP="00CF351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Liceo Scientifico “R. D’Aquino”</w:t>
      </w:r>
    </w:p>
    <w:p w:rsidR="00CF351A" w:rsidRDefault="00CF351A" w:rsidP="00CF351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Sede associata Liceo classico  Nusco</w:t>
      </w:r>
      <w:r>
        <w:rPr>
          <w:rFonts w:ascii="Calibri" w:hAnsi="Calibri"/>
          <w:b/>
          <w:sz w:val="28"/>
          <w:szCs w:val="28"/>
        </w:rPr>
        <w:t xml:space="preserve"> – AV</w:t>
      </w:r>
    </w:p>
    <w:p w:rsidR="00CF351A" w:rsidRDefault="00CF351A" w:rsidP="00CF351A">
      <w:pPr>
        <w:jc w:val="center"/>
        <w:rPr>
          <w:rFonts w:ascii="Calibri" w:hAnsi="Calibri"/>
          <w:b/>
          <w:sz w:val="28"/>
          <w:szCs w:val="28"/>
        </w:rPr>
      </w:pPr>
    </w:p>
    <w:p w:rsidR="00CF351A" w:rsidRDefault="00CF351A" w:rsidP="00CF351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Docente: p</w:t>
      </w:r>
      <w:r>
        <w:rPr>
          <w:rFonts w:ascii="Calibri" w:hAnsi="Calibri"/>
          <w:b/>
          <w:sz w:val="28"/>
          <w:szCs w:val="28"/>
        </w:rPr>
        <w:t xml:space="preserve">rof. Roberto </w:t>
      </w:r>
      <w:r>
        <w:rPr>
          <w:rFonts w:ascii="Calibri" w:hAnsi="Calibri"/>
          <w:b/>
          <w:sz w:val="28"/>
          <w:szCs w:val="28"/>
        </w:rPr>
        <w:t>Capone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CF351A" w:rsidRDefault="00CF351A" w:rsidP="00CF351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Disciplina: FISICA         </w:t>
      </w:r>
      <w:r>
        <w:rPr>
          <w:rFonts w:ascii="Calibri" w:hAnsi="Calibri"/>
          <w:b/>
          <w:sz w:val="28"/>
          <w:szCs w:val="28"/>
        </w:rPr>
        <w:tab/>
      </w:r>
    </w:p>
    <w:p w:rsidR="00CF351A" w:rsidRDefault="00CF351A" w:rsidP="00CF351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Classe III sez. Unica</w:t>
      </w:r>
    </w:p>
    <w:p w:rsidR="00CF351A" w:rsidRDefault="00CF351A" w:rsidP="00CF351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:rsidR="00CF351A" w:rsidRDefault="00CF351A" w:rsidP="00CF351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Attività didattica relativa al periodo ottobre 2010  – giugno 2011</w:t>
      </w:r>
    </w:p>
    <w:p w:rsidR="00CF351A" w:rsidRDefault="00CF351A" w:rsidP="00CF351A">
      <w:pPr>
        <w:jc w:val="center"/>
        <w:rPr>
          <w:rFonts w:ascii="Calibri" w:hAnsi="Calibri"/>
          <w:b/>
          <w:sz w:val="28"/>
          <w:szCs w:val="28"/>
        </w:rPr>
      </w:pPr>
    </w:p>
    <w:p w:rsidR="00CF351A" w:rsidRDefault="00CF351A" w:rsidP="00CF351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Specifica dettagliata degli </w:t>
      </w:r>
      <w:proofErr w:type="spellStart"/>
      <w:r>
        <w:rPr>
          <w:rFonts w:ascii="Calibri" w:hAnsi="Calibri"/>
          <w:b/>
          <w:sz w:val="28"/>
          <w:szCs w:val="28"/>
        </w:rPr>
        <w:t>items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</w:p>
    <w:p w:rsidR="003B70E2" w:rsidRPr="001B3F0B" w:rsidRDefault="003B70E2" w:rsidP="003B70E2">
      <w:pPr>
        <w:pStyle w:val="Style1"/>
        <w:adjustRightInd/>
        <w:ind w:left="3672"/>
        <w:rPr>
          <w:rFonts w:asciiTheme="minorHAnsi" w:hAnsiTheme="minorHAnsi"/>
          <w:i/>
          <w:iCs/>
          <w:color w:val="363145"/>
          <w:sz w:val="38"/>
          <w:szCs w:val="38"/>
        </w:rPr>
      </w:pPr>
    </w:p>
    <w:p w:rsidR="003B70E2" w:rsidRPr="00CF351A" w:rsidRDefault="003B70E2" w:rsidP="003B70E2">
      <w:pPr>
        <w:rPr>
          <w:rFonts w:asciiTheme="minorHAnsi" w:hAnsiTheme="minorHAnsi"/>
          <w:b/>
          <w:sz w:val="26"/>
          <w:szCs w:val="26"/>
        </w:rPr>
      </w:pPr>
      <w:r w:rsidRPr="00CF351A">
        <w:rPr>
          <w:rFonts w:asciiTheme="minorHAnsi" w:hAnsiTheme="minorHAnsi"/>
          <w:b/>
          <w:sz w:val="26"/>
          <w:szCs w:val="26"/>
        </w:rPr>
        <w:t>ELETTROSTATICA</w:t>
      </w:r>
    </w:p>
    <w:p w:rsidR="003B70E2" w:rsidRPr="001B3F0B" w:rsidRDefault="003B70E2" w:rsidP="003B70E2">
      <w:pPr>
        <w:rPr>
          <w:rFonts w:asciiTheme="minorHAnsi" w:hAnsiTheme="minorHAnsi" w:cs="Arial"/>
          <w:i/>
          <w:iCs/>
          <w:color w:val="363145"/>
          <w:sz w:val="28"/>
          <w:szCs w:val="28"/>
        </w:rPr>
      </w:pP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Elettrizzazione per strofinio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Pendolino elettrico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Conduttori e isolanti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Elettrizzazione per contatto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Elettroscopio a foglie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Elettrizzazione per induzione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Elettrizzazione per induzione dei conduttori collegati a terra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Legge di conservazione della carica elettrica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Legge di Coulomb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Legge di gravitazione universale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Confronto tra forze elettriche e forze gravitazionali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La costante dielettrica</w:t>
      </w:r>
    </w:p>
    <w:p w:rsidR="003B70E2" w:rsidRPr="00CF351A" w:rsidRDefault="003B70E2" w:rsidP="00E6103E">
      <w:pPr>
        <w:pStyle w:val="Paragrafoelenco"/>
        <w:numPr>
          <w:ilvl w:val="0"/>
          <w:numId w:val="15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Cenni sulla struttura dell'atomo</w:t>
      </w:r>
    </w:p>
    <w:p w:rsidR="003B70E2" w:rsidRPr="00CF351A" w:rsidRDefault="003B70E2" w:rsidP="003B70E2">
      <w:pPr>
        <w:pStyle w:val="Style1"/>
        <w:adjustRightInd/>
        <w:spacing w:before="360" w:line="292" w:lineRule="auto"/>
        <w:ind w:left="72"/>
        <w:rPr>
          <w:rFonts w:asciiTheme="minorHAnsi" w:hAnsiTheme="minorHAnsi" w:cs="Arial"/>
          <w:b/>
          <w:iCs/>
          <w:color w:val="363145"/>
          <w:sz w:val="26"/>
          <w:szCs w:val="26"/>
        </w:rPr>
      </w:pPr>
      <w:r w:rsidRPr="00CF351A">
        <w:rPr>
          <w:rFonts w:asciiTheme="minorHAnsi" w:hAnsiTheme="minorHAnsi" w:cs="Arial"/>
          <w:b/>
          <w:iCs/>
          <w:color w:val="363145"/>
          <w:sz w:val="26"/>
          <w:szCs w:val="26"/>
        </w:rPr>
        <w:t>CAMPO ELETTRICO E POTENZIALE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spacing w:before="252" w:line="278" w:lineRule="auto"/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Campo elettrico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spacing w:before="0"/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Vettore campo elettrico 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Calcolo del vettore campo elettrico E generato da cariche fisse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spacing w:before="0"/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Linee di forza, rappresentazione grafica di un campo elettrico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Potenziale elettrico e differenza di potenziale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Superficie equipotenziale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spacing w:before="0"/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Relazione fra campo elettrico e potenziale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Flusso di forza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Teorema di Gauss</w:t>
      </w:r>
    </w:p>
    <w:p w:rsidR="003B70E2" w:rsidRPr="00CF351A" w:rsidRDefault="003B70E2" w:rsidP="00E6103E">
      <w:pPr>
        <w:pStyle w:val="Style15"/>
        <w:numPr>
          <w:ilvl w:val="0"/>
          <w:numId w:val="14"/>
        </w:numPr>
        <w:spacing w:before="0" w:line="280" w:lineRule="auto"/>
        <w:rPr>
          <w:rStyle w:val="CharacterStyle13"/>
          <w:rFonts w:asciiTheme="minorHAnsi" w:hAnsiTheme="minorHAnsi"/>
          <w:color w:val="auto"/>
          <w:sz w:val="24"/>
          <w:szCs w:val="24"/>
        </w:rPr>
      </w:pPr>
      <w:r w:rsidRPr="00CF351A">
        <w:rPr>
          <w:rStyle w:val="CharacterStyle13"/>
          <w:rFonts w:asciiTheme="minorHAnsi" w:hAnsiTheme="minorHAnsi"/>
          <w:color w:val="auto"/>
          <w:sz w:val="24"/>
          <w:szCs w:val="24"/>
        </w:rPr>
        <w:t>La distribuzione della carica elettrica nei corpi conduttori</w:t>
      </w:r>
    </w:p>
    <w:p w:rsidR="003B70E2" w:rsidRPr="00CF351A" w:rsidRDefault="003B70E2" w:rsidP="00E6103E">
      <w:pPr>
        <w:pStyle w:val="Style1"/>
        <w:numPr>
          <w:ilvl w:val="0"/>
          <w:numId w:val="14"/>
        </w:numPr>
        <w:adjustRightInd/>
        <w:spacing w:line="280" w:lineRule="auto"/>
        <w:rPr>
          <w:rFonts w:asciiTheme="minorHAnsi" w:hAnsiTheme="minorHAnsi" w:cs="Garamond"/>
          <w:sz w:val="24"/>
          <w:szCs w:val="24"/>
        </w:rPr>
      </w:pPr>
      <w:r w:rsidRPr="00CF351A">
        <w:rPr>
          <w:rFonts w:asciiTheme="minorHAnsi" w:hAnsiTheme="minorHAnsi" w:cs="Garamond"/>
          <w:sz w:val="24"/>
          <w:szCs w:val="24"/>
        </w:rPr>
        <w:t>Densità superficiale e potere delle punte</w:t>
      </w:r>
    </w:p>
    <w:p w:rsidR="00E6103E" w:rsidRPr="001B3F0B" w:rsidRDefault="00E6103E" w:rsidP="00E6103E">
      <w:pPr>
        <w:rPr>
          <w:rStyle w:val="CharacterStyle13"/>
          <w:rFonts w:asciiTheme="minorHAnsi" w:hAnsiTheme="minorHAnsi"/>
          <w:b/>
        </w:rPr>
      </w:pPr>
    </w:p>
    <w:p w:rsidR="00E6103E" w:rsidRPr="001B3F0B" w:rsidRDefault="00E6103E" w:rsidP="00E6103E">
      <w:pPr>
        <w:rPr>
          <w:rStyle w:val="CharacterStyle13"/>
          <w:rFonts w:asciiTheme="minorHAnsi" w:hAnsiTheme="minorHAnsi"/>
          <w:b/>
        </w:rPr>
      </w:pPr>
      <w:r w:rsidRPr="001B3F0B">
        <w:rPr>
          <w:rStyle w:val="CharacterStyle13"/>
          <w:rFonts w:asciiTheme="minorHAnsi" w:hAnsiTheme="minorHAnsi"/>
          <w:b/>
        </w:rPr>
        <w:t>CAPACITA' ELETTRICA - CONDENSATORI</w:t>
      </w:r>
    </w:p>
    <w:p w:rsidR="00E6103E" w:rsidRPr="001B3F0B" w:rsidRDefault="00E6103E" w:rsidP="00E6103E">
      <w:pPr>
        <w:pStyle w:val="Paragrafoelenco"/>
        <w:ind w:left="432" w:firstLine="492"/>
        <w:rPr>
          <w:rStyle w:val="CharacterStyle13"/>
          <w:rFonts w:asciiTheme="minorHAnsi" w:hAnsiTheme="minorHAnsi"/>
        </w:rPr>
      </w:pPr>
    </w:p>
    <w:p w:rsidR="00E6103E" w:rsidRPr="00CF351A" w:rsidRDefault="00E6103E" w:rsidP="00E6103E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lastRenderedPageBreak/>
        <w:t>Capacità elettrostatica</w:t>
      </w:r>
    </w:p>
    <w:p w:rsidR="00E6103E" w:rsidRPr="00CF351A" w:rsidRDefault="00E6103E" w:rsidP="00E6103E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Leggi della capacità</w:t>
      </w:r>
    </w:p>
    <w:p w:rsidR="00E6103E" w:rsidRPr="00CF351A" w:rsidRDefault="00E6103E" w:rsidP="00E6103E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Condensatori</w:t>
      </w:r>
    </w:p>
    <w:p w:rsidR="00E6103E" w:rsidRPr="00CF351A" w:rsidRDefault="00E6103E" w:rsidP="00E6103E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Condensatori in serie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b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Condensatori in parallelo</w:t>
      </w:r>
      <w:r w:rsidRPr="00CF351A">
        <w:rPr>
          <w:rStyle w:val="CharacterStyle13"/>
          <w:rFonts w:asciiTheme="minorHAnsi" w:hAnsiTheme="minorHAnsi"/>
          <w:b/>
        </w:rPr>
        <w:t xml:space="preserve"> </w:t>
      </w:r>
    </w:p>
    <w:p w:rsidR="00CF351A" w:rsidRDefault="00CF351A" w:rsidP="00CF351A">
      <w:pPr>
        <w:rPr>
          <w:rStyle w:val="CharacterStyle13"/>
          <w:rFonts w:asciiTheme="minorHAnsi" w:hAnsiTheme="minorHAnsi"/>
          <w:b/>
        </w:rPr>
      </w:pPr>
    </w:p>
    <w:p w:rsidR="00CF351A" w:rsidRPr="001B3F0B" w:rsidRDefault="00CF351A" w:rsidP="00CF351A">
      <w:pPr>
        <w:rPr>
          <w:rStyle w:val="CharacterStyle13"/>
          <w:rFonts w:asciiTheme="minorHAnsi" w:hAnsiTheme="minorHAnsi"/>
          <w:b/>
        </w:rPr>
      </w:pPr>
      <w:r w:rsidRPr="001B3F0B">
        <w:rPr>
          <w:rStyle w:val="CharacterStyle13"/>
          <w:rFonts w:asciiTheme="minorHAnsi" w:hAnsiTheme="minorHAnsi"/>
          <w:b/>
        </w:rPr>
        <w:t>CORRENTE CONTINUA NEI METALLI</w:t>
      </w:r>
    </w:p>
    <w:p w:rsidR="00CF351A" w:rsidRPr="001B3F0B" w:rsidRDefault="00CF351A" w:rsidP="00CF351A">
      <w:pPr>
        <w:pStyle w:val="Paragrafoelenco"/>
        <w:ind w:left="216"/>
        <w:rPr>
          <w:rStyle w:val="CharacterStyle13"/>
          <w:rFonts w:asciiTheme="minorHAnsi" w:hAnsiTheme="minorHAnsi"/>
        </w:rPr>
      </w:pP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Generatori elettrostatici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Corrente elettrica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Intensità della corrente elettrica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Circuito elettrico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Prima legge di Ohm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Seconda legge di Ohm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Relazione fra resistenza specifica e temperatura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Conduttori ohmici in serie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Conduttori ohmici in parallelo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Potenza di una corrente elettrica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Legge di Ohm generalizzata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Effetto termico della corrente o effetto Joule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Legge di Joule</w:t>
      </w:r>
    </w:p>
    <w:p w:rsidR="00CF351A" w:rsidRPr="001B3F0B" w:rsidRDefault="00CF351A" w:rsidP="00CF351A">
      <w:pPr>
        <w:pStyle w:val="Paragrafoelenco"/>
        <w:ind w:left="1644"/>
        <w:rPr>
          <w:rStyle w:val="CharacterStyle13"/>
          <w:rFonts w:asciiTheme="minorHAnsi" w:hAnsiTheme="minorHAnsi"/>
        </w:rPr>
      </w:pPr>
    </w:p>
    <w:p w:rsidR="00CF351A" w:rsidRPr="001B3F0B" w:rsidRDefault="00CF351A" w:rsidP="00CF351A">
      <w:pPr>
        <w:pStyle w:val="Style17"/>
        <w:spacing w:before="72" w:line="304" w:lineRule="auto"/>
        <w:rPr>
          <w:rStyle w:val="CharacterStyle15"/>
          <w:rFonts w:asciiTheme="minorHAnsi" w:hAnsiTheme="minorHAnsi" w:cs="Garamond"/>
          <w:b/>
          <w:bCs/>
          <w:iCs/>
          <w:sz w:val="28"/>
          <w:szCs w:val="28"/>
        </w:rPr>
      </w:pPr>
      <w:r w:rsidRPr="001B3F0B">
        <w:rPr>
          <w:rStyle w:val="CharacterStyle15"/>
          <w:rFonts w:asciiTheme="minorHAnsi" w:hAnsiTheme="minorHAnsi" w:cs="Garamond"/>
          <w:b/>
          <w:bCs/>
          <w:iCs/>
          <w:sz w:val="28"/>
          <w:szCs w:val="28"/>
        </w:rPr>
        <w:t>MAGNETISMO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Magneti naturali e artificiali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Poli magnetici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Fenomeno della calamita spezzata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Campo magnetico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Esperienza di Oersted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Spira circolare percorsa da corrente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Campo magnetico generato da un solenoide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Intensità del campo magnetico H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Campo magnetico generato da un filo rettilineo indefinito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 xml:space="preserve">Legge di Biot e 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Savart</w:t>
      </w:r>
      <w:proofErr w:type="spellEnd"/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Forza esercitata da un campo magnetico su di un filo percorso da corrente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Legge di Laplace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Moto di una carica in un campo elettrico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Moto di una carica in un campo magnetico</w:t>
      </w:r>
    </w:p>
    <w:p w:rsidR="00CF351A" w:rsidRPr="001B3F0B" w:rsidRDefault="00CF351A" w:rsidP="00CF351A">
      <w:pPr>
        <w:pStyle w:val="Style1"/>
        <w:adjustRightInd/>
        <w:spacing w:before="360" w:line="304" w:lineRule="auto"/>
        <w:rPr>
          <w:rFonts w:asciiTheme="minorHAnsi" w:hAnsiTheme="minorHAnsi" w:cs="Garamond"/>
          <w:b/>
          <w:bCs/>
          <w:iCs/>
          <w:color w:val="514854"/>
          <w:sz w:val="28"/>
          <w:szCs w:val="28"/>
        </w:rPr>
      </w:pPr>
      <w:r w:rsidRPr="001B3F0B">
        <w:rPr>
          <w:rFonts w:asciiTheme="minorHAnsi" w:hAnsiTheme="minorHAnsi" w:cs="Garamond"/>
          <w:b/>
          <w:bCs/>
          <w:iCs/>
          <w:color w:val="514854"/>
          <w:sz w:val="28"/>
          <w:szCs w:val="28"/>
        </w:rPr>
        <w:t>INDUZIONE ELETTROMAGNETICA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Vettore induzione B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Flusso del vettore induzione magnetica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Proprietà magnetica della materia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Induzione elettromagnetica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 xml:space="preserve">Legge di 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Lenz</w:t>
      </w:r>
      <w:proofErr w:type="spellEnd"/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Legge di Faraday-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Neumann</w:t>
      </w:r>
      <w:proofErr w:type="spellEnd"/>
    </w:p>
    <w:p w:rsidR="00CF351A" w:rsidRPr="001B3F0B" w:rsidRDefault="00CF351A" w:rsidP="00CF351A">
      <w:pPr>
        <w:pStyle w:val="Style17"/>
        <w:ind w:left="1284"/>
        <w:rPr>
          <w:rStyle w:val="CharacterStyle15"/>
          <w:rFonts w:asciiTheme="minorHAnsi" w:hAnsiTheme="minorHAnsi"/>
        </w:rPr>
      </w:pPr>
    </w:p>
    <w:p w:rsidR="00CF351A" w:rsidRPr="001B3F0B" w:rsidRDefault="00CF351A" w:rsidP="00CF351A">
      <w:pPr>
        <w:pStyle w:val="Style17"/>
        <w:rPr>
          <w:rStyle w:val="CharacterStyle15"/>
          <w:rFonts w:asciiTheme="minorHAnsi" w:hAnsiTheme="minorHAnsi"/>
          <w:b/>
          <w:sz w:val="28"/>
          <w:szCs w:val="28"/>
        </w:rPr>
      </w:pPr>
      <w:r w:rsidRPr="001B3F0B">
        <w:rPr>
          <w:rStyle w:val="CharacterStyle15"/>
          <w:rFonts w:asciiTheme="minorHAnsi" w:hAnsiTheme="minorHAnsi"/>
          <w:b/>
          <w:sz w:val="28"/>
          <w:szCs w:val="28"/>
        </w:rPr>
        <w:t>LA GRANDE SINTESI DI MAXWELL</w:t>
      </w:r>
    </w:p>
    <w:p w:rsidR="00CF351A" w:rsidRPr="001B3F0B" w:rsidRDefault="00CF351A" w:rsidP="00CF351A">
      <w:pPr>
        <w:pStyle w:val="Style17"/>
        <w:ind w:left="1644"/>
        <w:rPr>
          <w:rStyle w:val="CharacterStyle15"/>
          <w:rFonts w:asciiTheme="minorHAnsi" w:hAnsiTheme="minorHAnsi"/>
        </w:rPr>
      </w:pP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Divergenza e rotore di un vettore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L’operatore nabla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Equazioni di Maxwell nel caso stazionario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Equazioni di maxwell  nel caso non stazionario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 onde elettromagnetiche</w:t>
      </w:r>
    </w:p>
    <w:p w:rsidR="00CF351A" w:rsidRPr="001B3F0B" w:rsidRDefault="00CF351A" w:rsidP="00CF351A">
      <w:pPr>
        <w:rPr>
          <w:rStyle w:val="CharacterStyle13"/>
          <w:rFonts w:asciiTheme="minorHAnsi" w:hAnsiTheme="minorHAnsi"/>
        </w:rPr>
      </w:pPr>
    </w:p>
    <w:p w:rsidR="00CF351A" w:rsidRPr="001B3F0B" w:rsidRDefault="00CF351A" w:rsidP="00CF351A">
      <w:pPr>
        <w:pStyle w:val="Style17"/>
        <w:ind w:left="1284"/>
        <w:rPr>
          <w:rStyle w:val="CharacterStyle15"/>
          <w:rFonts w:asciiTheme="minorHAnsi" w:hAnsiTheme="minorHAnsi"/>
        </w:rPr>
      </w:pPr>
    </w:p>
    <w:p w:rsidR="00CF351A" w:rsidRPr="001B3F0B" w:rsidRDefault="00CF351A" w:rsidP="00CF351A">
      <w:pPr>
        <w:pStyle w:val="Style17"/>
        <w:rPr>
          <w:rStyle w:val="CharacterStyle15"/>
          <w:rFonts w:asciiTheme="minorHAnsi" w:hAnsiTheme="minorHAnsi"/>
          <w:b/>
        </w:rPr>
      </w:pPr>
      <w:r w:rsidRPr="001B3F0B">
        <w:rPr>
          <w:rStyle w:val="CharacterStyle15"/>
          <w:rFonts w:asciiTheme="minorHAnsi" w:hAnsiTheme="minorHAnsi"/>
          <w:b/>
        </w:rPr>
        <w:t>LA CRISI DELLA MECCANICA CLASSICA</w:t>
      </w:r>
    </w:p>
    <w:p w:rsidR="00CF351A" w:rsidRPr="00CF351A" w:rsidRDefault="00CF351A" w:rsidP="00CF351A">
      <w:pPr>
        <w:pStyle w:val="Style17"/>
        <w:ind w:left="1644"/>
        <w:rPr>
          <w:rStyle w:val="CharacterStyle15"/>
          <w:rFonts w:asciiTheme="minorHAnsi" w:hAnsiTheme="minorHAnsi"/>
          <w:sz w:val="24"/>
          <w:szCs w:val="24"/>
        </w:rPr>
      </w:pP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Introduzione storica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Einstein e i moti browniani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 xml:space="preserve">Esperimento di 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Michelson</w:t>
      </w:r>
      <w:proofErr w:type="spellEnd"/>
      <w:r w:rsidRPr="00CF351A">
        <w:rPr>
          <w:rStyle w:val="CharacterStyle13"/>
          <w:rFonts w:asciiTheme="minorHAnsi" w:hAnsiTheme="minorHAnsi"/>
          <w:sz w:val="24"/>
          <w:szCs w:val="24"/>
        </w:rPr>
        <w:t xml:space="preserve"> e 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Morley</w:t>
      </w:r>
      <w:proofErr w:type="spellEnd"/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Cenni di relatività ristretta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Il paradosso dei gemelli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Il tempo assoluto e lo spaziotempo</w:t>
      </w:r>
    </w:p>
    <w:p w:rsidR="00CF351A" w:rsidRPr="00CF351A" w:rsidRDefault="00CF351A" w:rsidP="00CF351A">
      <w:pPr>
        <w:pStyle w:val="Paragrafoelenco"/>
        <w:numPr>
          <w:ilvl w:val="0"/>
          <w:numId w:val="13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 xml:space="preserve">Il principio di indeterminazione di </w:t>
      </w:r>
      <w:proofErr w:type="spellStart"/>
      <w:r w:rsidRPr="00CF351A">
        <w:rPr>
          <w:rStyle w:val="CharacterStyle13"/>
          <w:rFonts w:asciiTheme="minorHAnsi" w:hAnsiTheme="minorHAnsi"/>
          <w:sz w:val="24"/>
          <w:szCs w:val="24"/>
        </w:rPr>
        <w:t>Heisenberg</w:t>
      </w:r>
      <w:proofErr w:type="spellEnd"/>
    </w:p>
    <w:p w:rsidR="00CF351A" w:rsidRPr="001B3F0B" w:rsidRDefault="00CF351A" w:rsidP="00CF351A">
      <w:pPr>
        <w:rPr>
          <w:rStyle w:val="CharacterStyle13"/>
          <w:rFonts w:asciiTheme="minorHAnsi" w:hAnsiTheme="minorHAnsi"/>
        </w:rPr>
      </w:pPr>
    </w:p>
    <w:p w:rsidR="00CF351A" w:rsidRPr="001B3F0B" w:rsidRDefault="00CF351A" w:rsidP="00CF351A">
      <w:pPr>
        <w:rPr>
          <w:rStyle w:val="CharacterStyle15"/>
          <w:rFonts w:asciiTheme="minorHAnsi" w:hAnsiTheme="minorHAnsi"/>
          <w:b/>
          <w:szCs w:val="26"/>
        </w:rPr>
      </w:pPr>
      <w:r w:rsidRPr="001B3F0B">
        <w:rPr>
          <w:rStyle w:val="CharacterStyle15"/>
          <w:rFonts w:asciiTheme="minorHAnsi" w:hAnsiTheme="minorHAnsi"/>
          <w:b/>
          <w:szCs w:val="26"/>
        </w:rPr>
        <w:t>CENNI DI FISICA ATOMICA</w:t>
      </w:r>
    </w:p>
    <w:p w:rsidR="00CF351A" w:rsidRPr="001B3F0B" w:rsidRDefault="00CF351A" w:rsidP="00CF351A">
      <w:pPr>
        <w:rPr>
          <w:rStyle w:val="CharacterStyle13"/>
          <w:rFonts w:asciiTheme="minorHAnsi" w:hAnsiTheme="minorHAnsi"/>
        </w:rPr>
      </w:pPr>
    </w:p>
    <w:p w:rsidR="00CF351A" w:rsidRPr="00CF351A" w:rsidRDefault="00CF351A" w:rsidP="00CF351A">
      <w:pPr>
        <w:pStyle w:val="Paragrafoelenco"/>
        <w:numPr>
          <w:ilvl w:val="0"/>
          <w:numId w:val="16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Breve storia dell’atomo</w:t>
      </w:r>
    </w:p>
    <w:p w:rsidR="00CF351A" w:rsidRPr="00CF351A" w:rsidRDefault="00CF351A" w:rsidP="00CF351A">
      <w:pPr>
        <w:pStyle w:val="Paragrafoelenco"/>
        <w:numPr>
          <w:ilvl w:val="0"/>
          <w:numId w:val="16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I modelli atomici</w:t>
      </w:r>
    </w:p>
    <w:p w:rsidR="00CF351A" w:rsidRPr="00CF351A" w:rsidRDefault="00CF351A" w:rsidP="00CF351A">
      <w:pPr>
        <w:pStyle w:val="Paragrafoelenco"/>
        <w:numPr>
          <w:ilvl w:val="0"/>
          <w:numId w:val="16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Neutroni, protoni ed elettroni</w:t>
      </w:r>
    </w:p>
    <w:p w:rsidR="00CF351A" w:rsidRPr="00CF351A" w:rsidRDefault="00CF351A" w:rsidP="00CF351A">
      <w:pPr>
        <w:pStyle w:val="Paragrafoelenco"/>
        <w:numPr>
          <w:ilvl w:val="0"/>
          <w:numId w:val="16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Le reazioni nucleari</w:t>
      </w:r>
    </w:p>
    <w:p w:rsidR="00CF351A" w:rsidRDefault="00CF351A" w:rsidP="00CF351A">
      <w:pPr>
        <w:pStyle w:val="Paragrafoelenco"/>
        <w:numPr>
          <w:ilvl w:val="0"/>
          <w:numId w:val="16"/>
        </w:numPr>
        <w:rPr>
          <w:rStyle w:val="CharacterStyle13"/>
          <w:rFonts w:asciiTheme="minorHAnsi" w:hAnsiTheme="minorHAnsi"/>
          <w:sz w:val="24"/>
          <w:szCs w:val="24"/>
        </w:rPr>
      </w:pPr>
      <w:r w:rsidRPr="00CF351A">
        <w:rPr>
          <w:rStyle w:val="CharacterStyle13"/>
          <w:rFonts w:asciiTheme="minorHAnsi" w:hAnsiTheme="minorHAnsi"/>
          <w:sz w:val="24"/>
          <w:szCs w:val="24"/>
        </w:rPr>
        <w:t>La legge del decadimento radioattivo</w:t>
      </w:r>
    </w:p>
    <w:p w:rsidR="00CF351A" w:rsidRDefault="00CF351A" w:rsidP="00CF351A">
      <w:pPr>
        <w:pStyle w:val="Paragrafoelenco"/>
        <w:rPr>
          <w:rStyle w:val="CharacterStyle13"/>
          <w:rFonts w:asciiTheme="minorHAnsi" w:hAnsiTheme="minorHAnsi"/>
          <w:sz w:val="24"/>
          <w:szCs w:val="24"/>
        </w:rPr>
      </w:pPr>
    </w:p>
    <w:p w:rsidR="00CF351A" w:rsidRDefault="00CF351A" w:rsidP="00CF351A">
      <w:pPr>
        <w:pStyle w:val="Paragrafoelenco"/>
        <w:rPr>
          <w:rStyle w:val="CharacterStyle13"/>
          <w:rFonts w:asciiTheme="minorHAnsi" w:hAnsiTheme="minorHAnsi"/>
          <w:sz w:val="24"/>
          <w:szCs w:val="24"/>
        </w:rPr>
      </w:pPr>
    </w:p>
    <w:p w:rsidR="00CF351A" w:rsidRPr="00CF351A" w:rsidRDefault="00CF351A" w:rsidP="00CF351A">
      <w:pPr>
        <w:pStyle w:val="Paragrafoelenco"/>
        <w:rPr>
          <w:rStyle w:val="CharacterStyle13"/>
          <w:rFonts w:asciiTheme="minorHAnsi" w:hAnsiTheme="minorHAnsi"/>
          <w:sz w:val="24"/>
          <w:szCs w:val="24"/>
        </w:rPr>
      </w:pP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  <w:r>
        <w:rPr>
          <w:rStyle w:val="CharacterStyle13"/>
          <w:rFonts w:asciiTheme="minorHAnsi" w:hAnsiTheme="minorHAnsi"/>
        </w:rPr>
        <w:t xml:space="preserve">                     </w:t>
      </w:r>
      <w:r w:rsidRPr="00CF351A">
        <w:rPr>
          <w:rStyle w:val="CharacterStyle13"/>
          <w:rFonts w:asciiTheme="minorHAnsi" w:hAnsiTheme="minorHAnsi"/>
        </w:rPr>
        <w:t>Gli alunni</w:t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>Il Docente</w:t>
      </w: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>Prof. Roberto Capone</w:t>
      </w: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  <w:r w:rsidRPr="00CF351A">
        <w:rPr>
          <w:rStyle w:val="CharacterStyle13"/>
          <w:rFonts w:asciiTheme="minorHAnsi" w:hAnsiTheme="minorHAnsi"/>
        </w:rPr>
        <w:tab/>
        <w:t>--------------------------------------------</w:t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  <w:r w:rsidRPr="00CF351A">
        <w:rPr>
          <w:rStyle w:val="CharacterStyle13"/>
          <w:rFonts w:asciiTheme="minorHAnsi" w:hAnsiTheme="minorHAnsi"/>
        </w:rPr>
        <w:tab/>
      </w: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  <w:r w:rsidRPr="00CF351A">
        <w:rPr>
          <w:rStyle w:val="CharacterStyle13"/>
          <w:rFonts w:asciiTheme="minorHAnsi" w:hAnsiTheme="minorHAnsi"/>
        </w:rPr>
        <w:tab/>
        <w:t>--------------------------------------------</w:t>
      </w:r>
    </w:p>
    <w:p w:rsidR="00CF351A" w:rsidRPr="00CF351A" w:rsidRDefault="00CF351A" w:rsidP="00CF351A">
      <w:pPr>
        <w:ind w:left="360"/>
        <w:rPr>
          <w:rStyle w:val="CharacterStyle13"/>
          <w:rFonts w:asciiTheme="minorHAnsi" w:hAnsiTheme="minorHAnsi"/>
        </w:rPr>
      </w:pPr>
    </w:p>
    <w:p w:rsidR="00CF351A" w:rsidRPr="001B3F0B" w:rsidRDefault="00CF351A">
      <w:pPr>
        <w:rPr>
          <w:rStyle w:val="CharacterStyle13"/>
          <w:rFonts w:asciiTheme="minorHAnsi" w:hAnsiTheme="minorHAnsi"/>
        </w:rPr>
      </w:pPr>
      <w:bookmarkStart w:id="0" w:name="_GoBack"/>
      <w:bookmarkEnd w:id="0"/>
    </w:p>
    <w:sectPr w:rsidR="00CF351A" w:rsidRPr="001B3F0B" w:rsidSect="00787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BC76"/>
    <w:multiLevelType w:val="singleLevel"/>
    <w:tmpl w:val="5C4E420F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z w:val="26"/>
      </w:rPr>
    </w:lvl>
  </w:abstractNum>
  <w:abstractNum w:abstractNumId="1">
    <w:nsid w:val="08B95A32"/>
    <w:multiLevelType w:val="hybridMultilevel"/>
    <w:tmpl w:val="E6446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4024"/>
    <w:multiLevelType w:val="hybridMultilevel"/>
    <w:tmpl w:val="C16E1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083"/>
    <w:multiLevelType w:val="hybridMultilevel"/>
    <w:tmpl w:val="924AA14E"/>
    <w:lvl w:ilvl="0" w:tplc="5C4E420F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4197B42"/>
    <w:multiLevelType w:val="hybridMultilevel"/>
    <w:tmpl w:val="E7C88CDA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274D7E30"/>
    <w:multiLevelType w:val="hybridMultilevel"/>
    <w:tmpl w:val="8E4A173C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3CC3"/>
    <w:multiLevelType w:val="hybridMultilevel"/>
    <w:tmpl w:val="A348B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F7163"/>
    <w:multiLevelType w:val="hybridMultilevel"/>
    <w:tmpl w:val="510CB2E2"/>
    <w:lvl w:ilvl="0" w:tplc="5C4E420F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D7F6586"/>
    <w:multiLevelType w:val="hybridMultilevel"/>
    <w:tmpl w:val="4D64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528E1"/>
    <w:multiLevelType w:val="hybridMultilevel"/>
    <w:tmpl w:val="EFE013F6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65A47"/>
    <w:multiLevelType w:val="hybridMultilevel"/>
    <w:tmpl w:val="20F6E780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041F3"/>
    <w:multiLevelType w:val="hybridMultilevel"/>
    <w:tmpl w:val="83BE8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F77B4"/>
    <w:multiLevelType w:val="hybridMultilevel"/>
    <w:tmpl w:val="EAC06FD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"/>
        </w:pPr>
        <w:rPr>
          <w:rFonts w:ascii="Symbol" w:hAnsi="Symbol"/>
          <w:snapToGrid/>
          <w:color w:val="403642"/>
          <w:sz w:val="26"/>
        </w:rPr>
      </w:lvl>
    </w:lvlOverride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"/>
        </w:pPr>
        <w:rPr>
          <w:rFonts w:ascii="Symbol" w:hAnsi="Symbol"/>
          <w:snapToGrid/>
          <w:color w:val="403642"/>
          <w:sz w:val="26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864"/>
        </w:pPr>
        <w:rPr>
          <w:rFonts w:ascii="Symbol" w:hAnsi="Symbol"/>
          <w:snapToGrid/>
          <w:color w:val="59545E"/>
          <w:sz w:val="26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2"/>
        </w:pPr>
        <w:rPr>
          <w:rFonts w:ascii="Symbol" w:hAnsi="Symbol"/>
          <w:snapToGrid/>
          <w:color w:val="514854"/>
          <w:sz w:val="26"/>
        </w:rPr>
      </w:lvl>
    </w:lvlOverride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70E2"/>
    <w:rsid w:val="000C27ED"/>
    <w:rsid w:val="000C797C"/>
    <w:rsid w:val="001B3F0B"/>
    <w:rsid w:val="001F5488"/>
    <w:rsid w:val="003B70E2"/>
    <w:rsid w:val="003D3A18"/>
    <w:rsid w:val="0078785D"/>
    <w:rsid w:val="00942966"/>
    <w:rsid w:val="00B37DA9"/>
    <w:rsid w:val="00B735B0"/>
    <w:rsid w:val="00CF351A"/>
    <w:rsid w:val="00E6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7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5">
    <w:name w:val="Style 15"/>
    <w:uiPriority w:val="99"/>
    <w:rsid w:val="003B70E2"/>
    <w:pPr>
      <w:widowControl w:val="0"/>
      <w:autoSpaceDE w:val="0"/>
      <w:autoSpaceDN w:val="0"/>
      <w:spacing w:before="36" w:after="0" w:line="240" w:lineRule="auto"/>
      <w:ind w:left="216"/>
    </w:pPr>
    <w:rPr>
      <w:rFonts w:ascii="Garamond" w:eastAsiaTheme="minorEastAsia" w:hAnsi="Garamond" w:cs="Garamond"/>
      <w:color w:val="363145"/>
      <w:sz w:val="26"/>
      <w:szCs w:val="26"/>
      <w:lang w:eastAsia="it-IT"/>
    </w:rPr>
  </w:style>
  <w:style w:type="paragraph" w:customStyle="1" w:styleId="Style16">
    <w:name w:val="Style 16"/>
    <w:uiPriority w:val="99"/>
    <w:rsid w:val="003B70E2"/>
    <w:pPr>
      <w:widowControl w:val="0"/>
      <w:autoSpaceDE w:val="0"/>
      <w:autoSpaceDN w:val="0"/>
      <w:spacing w:after="0" w:line="240" w:lineRule="auto"/>
      <w:ind w:left="864"/>
    </w:pPr>
    <w:rPr>
      <w:rFonts w:ascii="Garamond" w:eastAsiaTheme="minorEastAsia" w:hAnsi="Garamond" w:cs="Garamond"/>
      <w:color w:val="45414D"/>
      <w:sz w:val="26"/>
      <w:szCs w:val="26"/>
      <w:lang w:eastAsia="it-IT"/>
    </w:rPr>
  </w:style>
  <w:style w:type="paragraph" w:customStyle="1" w:styleId="Style17">
    <w:name w:val="Style 17"/>
    <w:uiPriority w:val="99"/>
    <w:rsid w:val="003B70E2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Theme="minorEastAsia" w:hAnsi="Times New Roman" w:cs="Times New Roman"/>
      <w:color w:val="514854"/>
      <w:sz w:val="26"/>
      <w:szCs w:val="26"/>
      <w:lang w:eastAsia="it-IT"/>
    </w:rPr>
  </w:style>
  <w:style w:type="character" w:customStyle="1" w:styleId="CharacterStyle13">
    <w:name w:val="Character Style 13"/>
    <w:uiPriority w:val="99"/>
    <w:rsid w:val="003B70E2"/>
    <w:rPr>
      <w:rFonts w:ascii="Garamond" w:hAnsi="Garamond"/>
      <w:color w:val="363145"/>
      <w:sz w:val="26"/>
    </w:rPr>
  </w:style>
  <w:style w:type="character" w:customStyle="1" w:styleId="CharacterStyle14">
    <w:name w:val="Character Style 14"/>
    <w:uiPriority w:val="99"/>
    <w:rsid w:val="003B70E2"/>
    <w:rPr>
      <w:rFonts w:ascii="Garamond" w:hAnsi="Garamond"/>
      <w:color w:val="45414D"/>
      <w:sz w:val="26"/>
    </w:rPr>
  </w:style>
  <w:style w:type="character" w:customStyle="1" w:styleId="CharacterStyle15">
    <w:name w:val="Character Style 15"/>
    <w:uiPriority w:val="99"/>
    <w:rsid w:val="003B70E2"/>
    <w:rPr>
      <w:color w:val="514854"/>
      <w:sz w:val="26"/>
    </w:rPr>
  </w:style>
  <w:style w:type="paragraph" w:styleId="Paragrafoelenco">
    <w:name w:val="List Paragraph"/>
    <w:basedOn w:val="Normale"/>
    <w:uiPriority w:val="34"/>
    <w:qFormat/>
    <w:rsid w:val="003B70E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7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essunaspaziatura">
    <w:name w:val="No Spacing"/>
    <w:uiPriority w:val="1"/>
    <w:qFormat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7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7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5">
    <w:name w:val="Style 15"/>
    <w:uiPriority w:val="99"/>
    <w:rsid w:val="003B70E2"/>
    <w:pPr>
      <w:widowControl w:val="0"/>
      <w:autoSpaceDE w:val="0"/>
      <w:autoSpaceDN w:val="0"/>
      <w:spacing w:before="36" w:after="0" w:line="240" w:lineRule="auto"/>
      <w:ind w:left="216"/>
    </w:pPr>
    <w:rPr>
      <w:rFonts w:ascii="Garamond" w:eastAsiaTheme="minorEastAsia" w:hAnsi="Garamond" w:cs="Garamond"/>
      <w:color w:val="363145"/>
      <w:sz w:val="26"/>
      <w:szCs w:val="26"/>
      <w:lang w:eastAsia="it-IT"/>
    </w:rPr>
  </w:style>
  <w:style w:type="paragraph" w:customStyle="1" w:styleId="Style16">
    <w:name w:val="Style 16"/>
    <w:uiPriority w:val="99"/>
    <w:rsid w:val="003B70E2"/>
    <w:pPr>
      <w:widowControl w:val="0"/>
      <w:autoSpaceDE w:val="0"/>
      <w:autoSpaceDN w:val="0"/>
      <w:spacing w:after="0" w:line="240" w:lineRule="auto"/>
      <w:ind w:left="864"/>
    </w:pPr>
    <w:rPr>
      <w:rFonts w:ascii="Garamond" w:eastAsiaTheme="minorEastAsia" w:hAnsi="Garamond" w:cs="Garamond"/>
      <w:color w:val="45414D"/>
      <w:sz w:val="26"/>
      <w:szCs w:val="26"/>
      <w:lang w:eastAsia="it-IT"/>
    </w:rPr>
  </w:style>
  <w:style w:type="paragraph" w:customStyle="1" w:styleId="Style17">
    <w:name w:val="Style 17"/>
    <w:uiPriority w:val="99"/>
    <w:rsid w:val="003B70E2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Theme="minorEastAsia" w:hAnsi="Times New Roman" w:cs="Times New Roman"/>
      <w:color w:val="514854"/>
      <w:sz w:val="26"/>
      <w:szCs w:val="26"/>
      <w:lang w:eastAsia="it-IT"/>
    </w:rPr>
  </w:style>
  <w:style w:type="character" w:customStyle="1" w:styleId="CharacterStyle13">
    <w:name w:val="Character Style 13"/>
    <w:uiPriority w:val="99"/>
    <w:rsid w:val="003B70E2"/>
    <w:rPr>
      <w:rFonts w:ascii="Garamond" w:hAnsi="Garamond"/>
      <w:color w:val="363145"/>
      <w:sz w:val="26"/>
    </w:rPr>
  </w:style>
  <w:style w:type="character" w:customStyle="1" w:styleId="CharacterStyle14">
    <w:name w:val="Character Style 14"/>
    <w:uiPriority w:val="99"/>
    <w:rsid w:val="003B70E2"/>
    <w:rPr>
      <w:rFonts w:ascii="Garamond" w:hAnsi="Garamond"/>
      <w:color w:val="45414D"/>
      <w:sz w:val="26"/>
    </w:rPr>
  </w:style>
  <w:style w:type="character" w:customStyle="1" w:styleId="CharacterStyle15">
    <w:name w:val="Character Style 15"/>
    <w:uiPriority w:val="99"/>
    <w:rsid w:val="003B70E2"/>
    <w:rPr>
      <w:color w:val="514854"/>
      <w:sz w:val="26"/>
    </w:rPr>
  </w:style>
  <w:style w:type="paragraph" w:styleId="Paragrafoelenco">
    <w:name w:val="List Paragraph"/>
    <w:basedOn w:val="Normale"/>
    <w:uiPriority w:val="34"/>
    <w:qFormat/>
    <w:rsid w:val="003B70E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7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essunaspaziatura">
    <w:name w:val="No Spacing"/>
    <w:uiPriority w:val="1"/>
    <w:qFormat/>
    <w:rsid w:val="003B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7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Roberto</cp:lastModifiedBy>
  <cp:revision>6</cp:revision>
  <cp:lastPrinted>2011-06-08T13:06:00Z</cp:lastPrinted>
  <dcterms:created xsi:type="dcterms:W3CDTF">2011-06-07T19:54:00Z</dcterms:created>
  <dcterms:modified xsi:type="dcterms:W3CDTF">2011-06-08T13:06:00Z</dcterms:modified>
</cp:coreProperties>
</file>